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53</w:t>
      </w:r>
    </w:p>
    <w:p>
      <w:r>
        <w:t>Bundesgericht (BGE), 2005-08-10, DE</w:t>
      </w:r>
    </w:p>
    <w:p>
      <w:r>
        <w:rPr>
          <w:b/>
        </w:rPr>
        <w:t xml:space="preserve">Quelle: </w:t>
      </w:r>
      <w:r>
        <w:t>https://mcp.opencaselaw.ch/entscheid/bge_134 IV 53</w:t>
      </w:r>
    </w:p>
    <w:p>
      <w:r>
        <w:t>FR: ATF 134 IV 53</w:t>
      </w:r>
    </w:p>
    <w:p>
      <w:r>
        <w:t>IT: DTF 134 IV 53</w:t>
      </w:r>
    </w:p>
    <w:p>
      <w:pPr>
        <w:pStyle w:val="Heading2"/>
      </w:pPr>
      <w:r>
        <w:t>Regeste</w:t>
      </w:r>
    </w:p>
    <w:p>
      <w:r>
        <w:t>Regeste Begründungspflicht (Art. 50 StGB); Verbindung von bedingter Freiheitsstrafe mit Busse (Art. 42 Abs. 4 StGB). Hat die Staatsanwaltschaft den teilbedingten Vollzug explizit beantragt und lassen frühere Verurteilungen zumindest Zweifel an der Legalbewährung des Täters aufkommen, verletzt die Vorinstanz ihre Begründungspflicht, wenn sie nicht darlegt, weshalb sie den teilbedingten Vollzug als nicht notwendig einstuft (E. 5.1). Wird eine bedingte Strafe mit einer unbedingten Geldstrafe oder mit einer Busse verbunden, so haben die beiden Sanktionen in ihrer Summe schuldangemessen zu sein (E. 5.2).</w:t>
      </w:r>
    </w:p>
    <w:p>
      <w:pPr>
        <w:pStyle w:val="Heading2"/>
      </w:pPr>
      <w:r>
        <w:t>Erwägungen</w:t>
      </w:r>
    </w:p>
    <w:p>
      <w:r>
        <w:rPr>
          <w:b/>
        </w:rPr>
        <w:t>E. 5</w:t>
      </w:r>
    </w:p>
    <w:p>
      <w:r>
        <w:t>Im zu beurteilenden Fall stellt sich die Rechtslage wie folgt dar:</w:t>
      </w:r>
    </w:p>
    <w:p>
      <w:r>
        <w:rPr>
          <w:b/>
        </w:rPr>
        <w:t>E. 5.1</w:t>
      </w:r>
    </w:p>
    <w:p>
      <w:r>
        <w:t>Die Vorinstanz hat sich im angefochtenen Urteil nicht mit der Frage des teilbedingten Vollzugs auseinandergesetzt, obwohl der Beschwerdegegner vorbestraft ist wegen Missachtens der zulässigen Höchstgeschwindigkeit sowie Nichttragens des Sicherheitsgurtes und wegen grober Verletzung von Verkehrsregeln und obgleich BGE 134 IV 53 S. 55 ihm der Führerausweis innert kurzer Zeit insgesamt vier Mal entzogen worden ist. Vorliegend kann offengelassen werden, ob das Gericht sich bei Freiheitsstrafen im überschneidenden Anwendungsbereich von Art. 42 und 43 StGB bei zweifelsfreier Bejahung der Voraussetzungen des bedingten Vollzugs in jedem Fall ausdrücklich mit Art. 43 StGB zu befassen hat oder ob sich dessen Nicht-Anwendung nicht auch stillschweigend ergeben kann. In Fällen jedenfalls, in welchen die Staatsanwaltschaft den teilbedingten Vollzug explizit beantragt und frühere Verurteilungen zumindest Zweifel an der Legalbewährung des Täters aufkommen lassen, hat es zu begründen, weshalb es den teilbedingten Vollzug als nicht notwendig einstuft. Aus dem angefochtenen Urteil ergibt sich nicht, ob die Vorinstanz die Möglichkeit des teilbedingten Strafvollzugs überhaupt in Betracht gezogen hat. Vielmehr ist ebenso denkbar, dass sie - trotz des ausdrücklichen Antrags der Beschwerdeführerin - in Verkennung der Rechtslage von der falschen Annahme ausgegangen ist, dass sich bei Bejahung der Voraussetzungen des bedingten Strafvollzugs die Frage des teilbedingten Vollzugs im vorliegenden Fall gar nicht stellt. Im Ergebnis hat die Vorinstanz folglich die ihr obliegende Begründungspflicht verletzt. Die Beschwerde ist deshalb gutzuheissen und das angefochtene Urteil insoweit aufzuheben. Bei ihrer Neubeurteilung wird die Vorinstanz zu prüfen haben, ob der teilweise Vollzug der Freiheitsstrafe für die Erhöhung der Bewährungsaussichten des Beschwerdegegners unumgänglich erscheint.</w:t>
      </w:r>
    </w:p>
    <w:p>
      <w:r>
        <w:rPr>
          <w:b/>
        </w:rPr>
        <w:t>E. 5.2</w:t>
      </w:r>
    </w:p>
    <w:p>
      <w:r>
        <w:t>Die Aufhebung des angefochtenen Entscheids ist überdies aus einem weiteren Grund geboten: Die Vorinstanz hat im Rahmen ihrer Ausführungen zur Strafzumessung geschlossen, sie erachte eine Freiheitsstrafe von 20 Monaten als dem Verschulden des Beschwerdegegners angemessen. Alsdann hat sie gefolgert, in Anbetracht des schwerwiegenden Verschuldens sei gestützt auf Art. 42 Abs. 4 StGB zusätzlich eine Busse nach Art. 106 StGB in der Höhe von Fr. 1'000.- auszufällen. Wie dargelegt, darf im Rahmen der Strafkombination von Art. 42 Abs. 4 StGB die unbedingte Verbindungsgeldstrafe bzw. Busse nicht zu einer Straferhöhung führen oder eine zusätzliche Strafe ermöglichen. Bewertet das Gericht ein Strafmass von 20 Monaten als insgesamt schuldangemessen und erachtet es in Anwendung von Art. 42 BGE 134 IV 53 S. 56 Abs. 4 StGB eine Strafenkombination als sachgerecht, so haben die beiden Sanktionen in ihrer Summe schuldangemessen zu sein. Hieraus folgt, dass bei Verhängung einer Busse von Fr. 1'000.- eine bedingte Freiheitsstrafe von weniger als 20 Monaten auszusprechen ist. Die Vorinstanz hat demnach Art. 42 Abs. 4 StGB unrichtig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